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CBEA7DD" w14:textId="77777777" w:rsidR="006148D7" w:rsidRDefault="006148D7" w:rsidP="00F8664D">
      <w:pPr>
        <w:spacing w:line="276" w:lineRule="auto"/>
        <w:jc w:val="center"/>
        <w:rPr>
          <w:rFonts w:ascii="Times New Roman" w:hAnsi="Times New Roman" w:cs="Times New Roman"/>
          <w:b/>
          <w:bCs/>
          <w:sz w:val="24"/>
          <w:szCs w:val="24"/>
          <w:u w:val="single"/>
        </w:rPr>
      </w:pPr>
    </w:p>
    <w:p w14:paraId="255804ED" w14:textId="77777777" w:rsidR="006148D7" w:rsidRDefault="006148D7" w:rsidP="00F8664D">
      <w:pPr>
        <w:spacing w:line="276" w:lineRule="auto"/>
        <w:jc w:val="center"/>
        <w:rPr>
          <w:rFonts w:ascii="Times New Roman" w:hAnsi="Times New Roman" w:cs="Times New Roman"/>
          <w:b/>
          <w:bCs/>
          <w:sz w:val="24"/>
          <w:szCs w:val="24"/>
          <w:u w:val="single"/>
        </w:rPr>
      </w:pPr>
    </w:p>
    <w:p w14:paraId="21FE34E3" w14:textId="77777777" w:rsidR="006148D7" w:rsidRDefault="006148D7" w:rsidP="00F8664D">
      <w:pPr>
        <w:spacing w:line="276" w:lineRule="auto"/>
        <w:jc w:val="center"/>
        <w:rPr>
          <w:rFonts w:ascii="Times New Roman" w:hAnsi="Times New Roman" w:cs="Times New Roman"/>
          <w:b/>
          <w:bCs/>
          <w:sz w:val="24"/>
          <w:szCs w:val="24"/>
          <w:u w:val="single"/>
        </w:rPr>
      </w:pPr>
    </w:p>
    <w:p w14:paraId="5A13D01E" w14:textId="6857B7CC" w:rsidR="006148D7" w:rsidRDefault="008C25CC" w:rsidP="00F8664D">
      <w:pPr>
        <w:spacing w:line="276" w:lineRule="auto"/>
        <w:jc w:val="center"/>
        <w:rPr>
          <w:rFonts w:ascii="Times New Roman" w:hAnsi="Times New Roman" w:cs="Times New Roman"/>
          <w:b/>
          <w:bCs/>
          <w:sz w:val="24"/>
          <w:szCs w:val="24"/>
          <w:u w:val="single"/>
        </w:rPr>
      </w:pPr>
      <w:r>
        <w:rPr>
          <w:rFonts w:ascii="Times New Roman" w:hAnsi="Times New Roman" w:cs="Times New Roman"/>
          <w:b/>
          <w:bCs/>
          <w:sz w:val="24"/>
          <w:szCs w:val="24"/>
          <w:u w:val="single"/>
        </w:rPr>
        <w:t xml:space="preserve">TAURA </w:t>
      </w:r>
      <w:bookmarkStart w:id="0" w:name="_GoBack"/>
      <w:bookmarkEnd w:id="0"/>
      <w:r w:rsidR="008E7E35" w:rsidRPr="00545E8F">
        <w:rPr>
          <w:rFonts w:ascii="Times New Roman" w:hAnsi="Times New Roman" w:cs="Times New Roman"/>
          <w:b/>
          <w:bCs/>
          <w:sz w:val="24"/>
          <w:szCs w:val="24"/>
          <w:u w:val="single"/>
        </w:rPr>
        <w:t xml:space="preserve"> LOCAL GOVERNMENT COUNCILS </w:t>
      </w:r>
    </w:p>
    <w:p w14:paraId="2EF0153F" w14:textId="74CF91A8" w:rsidR="008E7E35" w:rsidRPr="00545E8F" w:rsidRDefault="008E7E35" w:rsidP="00F8664D">
      <w:pPr>
        <w:spacing w:line="276" w:lineRule="auto"/>
        <w:jc w:val="center"/>
        <w:rPr>
          <w:rFonts w:ascii="Times New Roman" w:hAnsi="Times New Roman" w:cs="Times New Roman"/>
          <w:b/>
          <w:bCs/>
          <w:sz w:val="24"/>
          <w:szCs w:val="24"/>
          <w:u w:val="single"/>
        </w:rPr>
      </w:pPr>
      <w:r w:rsidRPr="00545E8F">
        <w:rPr>
          <w:rFonts w:ascii="Times New Roman" w:hAnsi="Times New Roman" w:cs="Times New Roman"/>
          <w:b/>
          <w:bCs/>
          <w:sz w:val="24"/>
          <w:szCs w:val="24"/>
          <w:u w:val="single"/>
        </w:rPr>
        <w:t>ACCOUNTING POLICIES</w:t>
      </w:r>
    </w:p>
    <w:p w14:paraId="0F77AB98" w14:textId="424E9A78" w:rsidR="008E7E35" w:rsidRPr="00545E8F" w:rsidRDefault="008E7E35" w:rsidP="00F8664D">
      <w:pPr>
        <w:spacing w:line="276" w:lineRule="auto"/>
        <w:ind w:firstLine="351"/>
        <w:jc w:val="center"/>
        <w:rPr>
          <w:rFonts w:ascii="Arial Narrow" w:hAnsi="Arial Narrow" w:cs="Tahoma"/>
          <w:b/>
          <w:color w:val="000000" w:themeColor="text1"/>
          <w:sz w:val="24"/>
          <w:szCs w:val="24"/>
        </w:rPr>
      </w:pPr>
      <w:r w:rsidRPr="00545E8F">
        <w:rPr>
          <w:rFonts w:ascii="Arial Narrow" w:hAnsi="Arial Narrow" w:cs="Tahoma"/>
          <w:b/>
          <w:color w:val="000000" w:themeColor="text1"/>
          <w:sz w:val="24"/>
          <w:szCs w:val="24"/>
        </w:rPr>
        <w:t>Summary of Significant Accounting Policies:</w:t>
      </w:r>
    </w:p>
    <w:p w14:paraId="5F2E3D1D" w14:textId="1029CED2"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sz w:val="24"/>
          <w:szCs w:val="24"/>
        </w:rPr>
        <w:t>1.</w:t>
      </w:r>
      <w:r w:rsidRPr="00545E8F">
        <w:rPr>
          <w:rFonts w:ascii="Times New Roman" w:hAnsi="Times New Roman" w:cs="Times New Roman"/>
          <w:sz w:val="24"/>
          <w:szCs w:val="24"/>
        </w:rPr>
        <w:tab/>
      </w:r>
      <w:r w:rsidRPr="00545E8F">
        <w:rPr>
          <w:rFonts w:ascii="Times New Roman" w:hAnsi="Times New Roman" w:cs="Times New Roman"/>
          <w:b/>
          <w:bCs/>
          <w:sz w:val="24"/>
          <w:szCs w:val="24"/>
        </w:rPr>
        <w:t>General information</w:t>
      </w:r>
    </w:p>
    <w:p w14:paraId="600BD8D0" w14:textId="10EE139B"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 xml:space="preserve">1.1 The Federal Executive Council of Nigeria approved the adoption of International Public Sector Accounting Standards (IPSAS) in July 2010. Public Sector Entities were required to </w:t>
      </w:r>
      <w:proofErr w:type="gramStart"/>
      <w:r w:rsidRPr="00545E8F">
        <w:rPr>
          <w:rFonts w:ascii="Times New Roman" w:hAnsi="Times New Roman" w:cs="Times New Roman"/>
          <w:sz w:val="24"/>
          <w:szCs w:val="24"/>
        </w:rPr>
        <w:t>adopt</w:t>
      </w:r>
      <w:proofErr w:type="gramEnd"/>
      <w:r w:rsidRPr="00545E8F">
        <w:rPr>
          <w:rFonts w:ascii="Times New Roman" w:hAnsi="Times New Roman" w:cs="Times New Roman"/>
          <w:sz w:val="24"/>
          <w:szCs w:val="24"/>
        </w:rPr>
        <w:t>, prepare and present 2014 Financial Statements on Cash Basis while 2016 Financial Statements was to be prepared using Accrual Basis IPSAS. Jigawa State Local Governments was in compliant with Cash Basis</w:t>
      </w:r>
    </w:p>
    <w:p w14:paraId="0A178E4E" w14:textId="77777777" w:rsidR="008969BF" w:rsidRPr="00545E8F" w:rsidRDefault="008969BF" w:rsidP="00F8664D">
      <w:pPr>
        <w:spacing w:line="276" w:lineRule="auto"/>
        <w:jc w:val="both"/>
        <w:rPr>
          <w:rFonts w:ascii="Times New Roman" w:hAnsi="Times New Roman" w:cs="Times New Roman"/>
          <w:sz w:val="24"/>
          <w:szCs w:val="24"/>
        </w:rPr>
      </w:pPr>
    </w:p>
    <w:p w14:paraId="4189802D" w14:textId="74EF24CA" w:rsidR="008969BF" w:rsidRPr="00545E8F" w:rsidRDefault="00BA56D4"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sz w:val="24"/>
          <w:szCs w:val="24"/>
        </w:rPr>
        <w:t xml:space="preserve">2.1 </w:t>
      </w:r>
      <w:r w:rsidR="008969BF" w:rsidRPr="00545E8F">
        <w:rPr>
          <w:rFonts w:ascii="Times New Roman" w:hAnsi="Times New Roman" w:cs="Times New Roman"/>
          <w:sz w:val="24"/>
          <w:szCs w:val="24"/>
        </w:rPr>
        <w:tab/>
      </w:r>
      <w:r w:rsidR="008969BF" w:rsidRPr="00545E8F">
        <w:rPr>
          <w:rFonts w:ascii="Times New Roman" w:hAnsi="Times New Roman" w:cs="Times New Roman"/>
          <w:b/>
          <w:bCs/>
          <w:sz w:val="24"/>
          <w:szCs w:val="24"/>
        </w:rPr>
        <w:t xml:space="preserve"> Statement of compliance with IPSAS and explanations</w:t>
      </w:r>
    </w:p>
    <w:p w14:paraId="5307054E"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 xml:space="preserve">The financial statements of Jigawa State Local Government Councils have been prepared in accordance with Accrual Basis, International Public Sector Accounting Standards (IPSASs). </w:t>
      </w:r>
    </w:p>
    <w:p w14:paraId="4F635BB3"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The Local Governments Financial Statements are presented in Nigerian Naira, which is the functional and reporting currency and all values are rounded to the nearest thousand except where the thousand signs (N’000) is not indicated. The accounting policies have been consistently applied to all years presented. It is therefore, the Jigawa State Local Government Councils Financial Statements are prepared on an Accrual Basis.</w:t>
      </w:r>
    </w:p>
    <w:p w14:paraId="31C1BE1E"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 xml:space="preserve">  The Financial Statements presented include:</w:t>
      </w:r>
    </w:p>
    <w:p w14:paraId="70A74170"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Statement 1:</w:t>
      </w:r>
      <w:r w:rsidRPr="00545E8F">
        <w:rPr>
          <w:rFonts w:ascii="Times New Roman" w:hAnsi="Times New Roman" w:cs="Times New Roman"/>
          <w:sz w:val="24"/>
          <w:szCs w:val="24"/>
        </w:rPr>
        <w:tab/>
        <w:t>Consolidated Statement of Financial Performance</w:t>
      </w:r>
    </w:p>
    <w:p w14:paraId="5B865CE6"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Statement 2:</w:t>
      </w:r>
      <w:r w:rsidRPr="00545E8F">
        <w:rPr>
          <w:rFonts w:ascii="Times New Roman" w:hAnsi="Times New Roman" w:cs="Times New Roman"/>
          <w:sz w:val="24"/>
          <w:szCs w:val="24"/>
        </w:rPr>
        <w:tab/>
        <w:t>Consolidated Statement of Financial Position</w:t>
      </w:r>
    </w:p>
    <w:p w14:paraId="4CA6BD18"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Statement 3:</w:t>
      </w:r>
      <w:r w:rsidRPr="00545E8F">
        <w:rPr>
          <w:rFonts w:ascii="Times New Roman" w:hAnsi="Times New Roman" w:cs="Times New Roman"/>
          <w:sz w:val="24"/>
          <w:szCs w:val="24"/>
        </w:rPr>
        <w:tab/>
        <w:t>Consolidated Statement of Cash Flows</w:t>
      </w:r>
    </w:p>
    <w:p w14:paraId="33B11DE2"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Statement 4:</w:t>
      </w:r>
      <w:r w:rsidRPr="00545E8F">
        <w:rPr>
          <w:rFonts w:ascii="Times New Roman" w:hAnsi="Times New Roman" w:cs="Times New Roman"/>
          <w:sz w:val="24"/>
          <w:szCs w:val="24"/>
        </w:rPr>
        <w:tab/>
        <w:t>Consolidated Statement of Changes in Equity</w:t>
      </w:r>
    </w:p>
    <w:p w14:paraId="76B043DE" w14:textId="1A1576A4" w:rsidR="000435A9" w:rsidRPr="00545E8F" w:rsidRDefault="000435A9"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Statement 5: Comparisons of Budgeted and Actual</w:t>
      </w:r>
    </w:p>
    <w:p w14:paraId="3E21939C" w14:textId="4523F2ED" w:rsid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 xml:space="preserve">Notes to the Accounts </w:t>
      </w:r>
    </w:p>
    <w:p w14:paraId="4EBF5DFA" w14:textId="77777777" w:rsidR="00545E8F" w:rsidRDefault="00545E8F" w:rsidP="00F8664D">
      <w:pPr>
        <w:spacing w:line="276" w:lineRule="auto"/>
        <w:jc w:val="both"/>
        <w:rPr>
          <w:rFonts w:ascii="Times New Roman" w:hAnsi="Times New Roman" w:cs="Times New Roman"/>
          <w:sz w:val="24"/>
          <w:szCs w:val="24"/>
        </w:rPr>
      </w:pPr>
    </w:p>
    <w:p w14:paraId="074533AF" w14:textId="35D530D6"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sz w:val="24"/>
          <w:szCs w:val="24"/>
        </w:rPr>
        <w:t xml:space="preserve">2.2   </w:t>
      </w:r>
      <w:r w:rsidRPr="00545E8F">
        <w:rPr>
          <w:rFonts w:ascii="Times New Roman" w:hAnsi="Times New Roman" w:cs="Times New Roman"/>
          <w:b/>
          <w:bCs/>
          <w:sz w:val="24"/>
          <w:szCs w:val="24"/>
        </w:rPr>
        <w:t>The Accounting Policies</w:t>
      </w:r>
    </w:p>
    <w:p w14:paraId="04DC6BE3"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lastRenderedPageBreak/>
        <w:t>A.</w:t>
      </w:r>
      <w:r w:rsidRPr="00545E8F">
        <w:rPr>
          <w:rFonts w:ascii="Times New Roman" w:hAnsi="Times New Roman" w:cs="Times New Roman"/>
          <w:sz w:val="24"/>
          <w:szCs w:val="24"/>
        </w:rPr>
        <w:tab/>
        <w:t xml:space="preserve"> Measurement Basis</w:t>
      </w:r>
    </w:p>
    <w:p w14:paraId="1723967E"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These GPFS have been prepared under the historical cost convention (as modified by revaluation or fair value of certain assets and liabilities where applicable).</w:t>
      </w:r>
    </w:p>
    <w:p w14:paraId="4B512E00" w14:textId="40CF7400"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B.</w:t>
      </w:r>
      <w:r w:rsidRPr="00545E8F">
        <w:rPr>
          <w:rFonts w:ascii="Times New Roman" w:hAnsi="Times New Roman" w:cs="Times New Roman"/>
          <w:sz w:val="24"/>
          <w:szCs w:val="24"/>
        </w:rPr>
        <w:tab/>
        <w:t xml:space="preserve">Effort </w:t>
      </w:r>
      <w:proofErr w:type="gramStart"/>
      <w:r w:rsidRPr="00545E8F">
        <w:rPr>
          <w:rFonts w:ascii="Times New Roman" w:hAnsi="Times New Roman" w:cs="Times New Roman"/>
          <w:sz w:val="24"/>
          <w:szCs w:val="24"/>
        </w:rPr>
        <w:t>were</w:t>
      </w:r>
      <w:proofErr w:type="gramEnd"/>
      <w:r w:rsidRPr="00545E8F">
        <w:rPr>
          <w:rFonts w:ascii="Times New Roman" w:hAnsi="Times New Roman" w:cs="Times New Roman"/>
          <w:sz w:val="24"/>
          <w:szCs w:val="24"/>
        </w:rPr>
        <w:t xml:space="preserve"> made to apply all the </w:t>
      </w:r>
      <w:r w:rsidR="00545E8F" w:rsidRPr="00545E8F">
        <w:rPr>
          <w:rFonts w:ascii="Times New Roman" w:hAnsi="Times New Roman" w:cs="Times New Roman"/>
          <w:sz w:val="24"/>
          <w:szCs w:val="24"/>
        </w:rPr>
        <w:t>provisions</w:t>
      </w:r>
      <w:r w:rsidRPr="00545E8F">
        <w:rPr>
          <w:rFonts w:ascii="Times New Roman" w:hAnsi="Times New Roman" w:cs="Times New Roman"/>
          <w:sz w:val="24"/>
          <w:szCs w:val="24"/>
        </w:rPr>
        <w:t xml:space="preserve"> of the IPSAS unless where it was indicated.</w:t>
      </w:r>
    </w:p>
    <w:p w14:paraId="38A49517" w14:textId="3F0806A8"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C.</w:t>
      </w:r>
      <w:r w:rsidRPr="00545E8F">
        <w:rPr>
          <w:rFonts w:ascii="Times New Roman" w:hAnsi="Times New Roman" w:cs="Times New Roman"/>
          <w:sz w:val="24"/>
          <w:szCs w:val="24"/>
        </w:rPr>
        <w:tab/>
        <w:t>Other Accounting Policies</w:t>
      </w:r>
    </w:p>
    <w:p w14:paraId="1CF8743D" w14:textId="77777777"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sz w:val="24"/>
          <w:szCs w:val="24"/>
        </w:rPr>
        <w:t>1.</w:t>
      </w:r>
      <w:r w:rsidRPr="00545E8F">
        <w:rPr>
          <w:rFonts w:ascii="Times New Roman" w:hAnsi="Times New Roman" w:cs="Times New Roman"/>
          <w:sz w:val="24"/>
          <w:szCs w:val="24"/>
        </w:rPr>
        <w:tab/>
      </w:r>
      <w:r w:rsidRPr="00545E8F">
        <w:rPr>
          <w:rFonts w:ascii="Times New Roman" w:hAnsi="Times New Roman" w:cs="Times New Roman"/>
          <w:b/>
          <w:bCs/>
          <w:sz w:val="24"/>
          <w:szCs w:val="24"/>
        </w:rPr>
        <w:t>Basis of Accounting</w:t>
      </w:r>
    </w:p>
    <w:p w14:paraId="02901CAF"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These GPFS have been prepared tastefully on Accrual Basis of Accounting.</w:t>
      </w:r>
    </w:p>
    <w:p w14:paraId="6DA914DA"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2.</w:t>
      </w:r>
      <w:r w:rsidRPr="00545E8F">
        <w:rPr>
          <w:rFonts w:ascii="Times New Roman" w:hAnsi="Times New Roman" w:cs="Times New Roman"/>
          <w:sz w:val="24"/>
          <w:szCs w:val="24"/>
        </w:rPr>
        <w:tab/>
        <w:t xml:space="preserve">Accounting Period </w:t>
      </w:r>
    </w:p>
    <w:p w14:paraId="0A91E0A5"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The accounting year (fiscal year) shall be from 1st January to 31st December in line with the National Treasury Circular Ref. OAGF/CAD/026/V.1/102 of 30th December, 2013.  Each accounting year is divided into 12 calendar months (periods) and shall be set up as such in the accounting system.</w:t>
      </w:r>
    </w:p>
    <w:p w14:paraId="1963BE49" w14:textId="77777777"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sz w:val="24"/>
          <w:szCs w:val="24"/>
        </w:rPr>
        <w:t>3.</w:t>
      </w:r>
      <w:r w:rsidRPr="00545E8F">
        <w:rPr>
          <w:rFonts w:ascii="Times New Roman" w:hAnsi="Times New Roman" w:cs="Times New Roman"/>
          <w:sz w:val="24"/>
          <w:szCs w:val="24"/>
        </w:rPr>
        <w:tab/>
      </w:r>
      <w:r w:rsidRPr="00545E8F">
        <w:rPr>
          <w:rFonts w:ascii="Times New Roman" w:hAnsi="Times New Roman" w:cs="Times New Roman"/>
          <w:b/>
          <w:bCs/>
          <w:sz w:val="24"/>
          <w:szCs w:val="24"/>
        </w:rPr>
        <w:t>Reporting Currency</w:t>
      </w:r>
    </w:p>
    <w:p w14:paraId="2287ADAB"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The GPFS shall be prepared in the Nigerian Naira.</w:t>
      </w:r>
    </w:p>
    <w:p w14:paraId="4A1E46F9" w14:textId="77777777"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sz w:val="24"/>
          <w:szCs w:val="24"/>
        </w:rPr>
        <w:t>4.</w:t>
      </w:r>
      <w:r w:rsidRPr="00545E8F">
        <w:rPr>
          <w:rFonts w:ascii="Times New Roman" w:hAnsi="Times New Roman" w:cs="Times New Roman"/>
          <w:sz w:val="24"/>
          <w:szCs w:val="24"/>
        </w:rPr>
        <w:tab/>
      </w:r>
      <w:r w:rsidRPr="00545E8F">
        <w:rPr>
          <w:rFonts w:ascii="Times New Roman" w:hAnsi="Times New Roman" w:cs="Times New Roman"/>
          <w:b/>
          <w:bCs/>
          <w:sz w:val="24"/>
          <w:szCs w:val="24"/>
        </w:rPr>
        <w:t>Consolidation Policy (applicable to controlling entities)</w:t>
      </w:r>
    </w:p>
    <w:p w14:paraId="06958DBC"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i.</w:t>
      </w:r>
      <w:r w:rsidRPr="00545E8F">
        <w:rPr>
          <w:rFonts w:ascii="Times New Roman" w:hAnsi="Times New Roman" w:cs="Times New Roman"/>
          <w:sz w:val="24"/>
          <w:szCs w:val="24"/>
        </w:rPr>
        <w:tab/>
        <w:t xml:space="preserve">All of the 27 Local Government Councils of the </w:t>
      </w:r>
      <w:proofErr w:type="gramStart"/>
      <w:r w:rsidRPr="00545E8F">
        <w:rPr>
          <w:rFonts w:ascii="Times New Roman" w:hAnsi="Times New Roman" w:cs="Times New Roman"/>
          <w:sz w:val="24"/>
          <w:szCs w:val="24"/>
        </w:rPr>
        <w:t>State  shall</w:t>
      </w:r>
      <w:proofErr w:type="gramEnd"/>
      <w:r w:rsidRPr="00545E8F">
        <w:rPr>
          <w:rFonts w:ascii="Times New Roman" w:hAnsi="Times New Roman" w:cs="Times New Roman"/>
          <w:sz w:val="24"/>
          <w:szCs w:val="24"/>
        </w:rPr>
        <w:t xml:space="preserve">  submitting their annual financial statements to the Auditor General Local Government Councils for Consolidation.</w:t>
      </w:r>
    </w:p>
    <w:p w14:paraId="326B1F84"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ii.</w:t>
      </w:r>
      <w:r w:rsidRPr="00545E8F">
        <w:rPr>
          <w:rFonts w:ascii="Times New Roman" w:hAnsi="Times New Roman" w:cs="Times New Roman"/>
          <w:sz w:val="24"/>
          <w:szCs w:val="24"/>
        </w:rPr>
        <w:tab/>
        <w:t xml:space="preserve">The Consolidation of the financial statements have been carried </w:t>
      </w:r>
      <w:proofErr w:type="gramStart"/>
      <w:r w:rsidRPr="00545E8F">
        <w:rPr>
          <w:rFonts w:ascii="Times New Roman" w:hAnsi="Times New Roman" w:cs="Times New Roman"/>
          <w:sz w:val="24"/>
          <w:szCs w:val="24"/>
        </w:rPr>
        <w:t>out  in</w:t>
      </w:r>
      <w:proofErr w:type="gramEnd"/>
      <w:r w:rsidRPr="00545E8F">
        <w:rPr>
          <w:rFonts w:ascii="Times New Roman" w:hAnsi="Times New Roman" w:cs="Times New Roman"/>
          <w:sz w:val="24"/>
          <w:szCs w:val="24"/>
        </w:rPr>
        <w:t xml:space="preserve"> accordance with accrual basis International Public Sector Accounting Standards (IPSASs). FAAC Technical Sub-committee on IPSAS implementation guideline.</w:t>
      </w:r>
    </w:p>
    <w:p w14:paraId="52A4E9F6" w14:textId="77777777"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sz w:val="24"/>
          <w:szCs w:val="24"/>
        </w:rPr>
        <w:t>5.</w:t>
      </w:r>
      <w:r w:rsidRPr="00545E8F">
        <w:rPr>
          <w:rFonts w:ascii="Times New Roman" w:hAnsi="Times New Roman" w:cs="Times New Roman"/>
          <w:sz w:val="24"/>
          <w:szCs w:val="24"/>
        </w:rPr>
        <w:tab/>
      </w:r>
      <w:r w:rsidRPr="00545E8F">
        <w:rPr>
          <w:rFonts w:ascii="Times New Roman" w:hAnsi="Times New Roman" w:cs="Times New Roman"/>
          <w:b/>
          <w:bCs/>
          <w:sz w:val="24"/>
          <w:szCs w:val="24"/>
        </w:rPr>
        <w:t>Comparative Information</w:t>
      </w:r>
    </w:p>
    <w:p w14:paraId="59A599B7" w14:textId="31F4211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 xml:space="preserve">The General Purpose Financial Statements shall disclose all numerical information relating to current </w:t>
      </w:r>
      <w:proofErr w:type="gramStart"/>
      <w:r w:rsidRPr="00545E8F">
        <w:rPr>
          <w:rFonts w:ascii="Times New Roman" w:hAnsi="Times New Roman" w:cs="Times New Roman"/>
          <w:sz w:val="24"/>
          <w:szCs w:val="24"/>
        </w:rPr>
        <w:t>and  previous</w:t>
      </w:r>
      <w:proofErr w:type="gramEnd"/>
      <w:r w:rsidRPr="00545E8F">
        <w:rPr>
          <w:rFonts w:ascii="Times New Roman" w:hAnsi="Times New Roman" w:cs="Times New Roman"/>
          <w:sz w:val="24"/>
          <w:szCs w:val="24"/>
        </w:rPr>
        <w:t xml:space="preserve"> period (2024 and 2023) simultaneous for comparative purposes.</w:t>
      </w:r>
    </w:p>
    <w:p w14:paraId="4106E98E"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6.</w:t>
      </w:r>
      <w:r w:rsidRPr="00545E8F">
        <w:rPr>
          <w:rFonts w:ascii="Times New Roman" w:hAnsi="Times New Roman" w:cs="Times New Roman"/>
          <w:sz w:val="24"/>
          <w:szCs w:val="24"/>
        </w:rPr>
        <w:tab/>
      </w:r>
      <w:r w:rsidRPr="00545E8F">
        <w:rPr>
          <w:rFonts w:ascii="Times New Roman" w:hAnsi="Times New Roman" w:cs="Times New Roman"/>
          <w:b/>
          <w:bCs/>
          <w:sz w:val="24"/>
          <w:szCs w:val="24"/>
        </w:rPr>
        <w:t>Completeness</w:t>
      </w:r>
    </w:p>
    <w:p w14:paraId="413AD1E4" w14:textId="0F2B5ABF"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 xml:space="preserve">The General Purpose Financial Statements information </w:t>
      </w:r>
      <w:proofErr w:type="gramStart"/>
      <w:r w:rsidRPr="00545E8F">
        <w:rPr>
          <w:rFonts w:ascii="Times New Roman" w:hAnsi="Times New Roman" w:cs="Times New Roman"/>
          <w:sz w:val="24"/>
          <w:szCs w:val="24"/>
        </w:rPr>
        <w:t>have</w:t>
      </w:r>
      <w:proofErr w:type="gramEnd"/>
      <w:r w:rsidRPr="00545E8F">
        <w:rPr>
          <w:rFonts w:ascii="Times New Roman" w:hAnsi="Times New Roman" w:cs="Times New Roman"/>
          <w:sz w:val="24"/>
          <w:szCs w:val="24"/>
        </w:rPr>
        <w:t xml:space="preserve"> satisfy the recognition criteria and completed within the bounds of materiality and cost-benefit considerations.</w:t>
      </w:r>
    </w:p>
    <w:p w14:paraId="0892E17D" w14:textId="77777777" w:rsidR="008969BF" w:rsidRPr="00545E8F" w:rsidRDefault="008969BF" w:rsidP="00F8664D">
      <w:pPr>
        <w:spacing w:line="276" w:lineRule="auto"/>
        <w:jc w:val="both"/>
        <w:rPr>
          <w:rFonts w:ascii="Times New Roman" w:hAnsi="Times New Roman" w:cs="Times New Roman"/>
          <w:sz w:val="24"/>
          <w:szCs w:val="24"/>
        </w:rPr>
      </w:pPr>
    </w:p>
    <w:p w14:paraId="6E5E7FD3" w14:textId="77777777" w:rsidR="00934F57" w:rsidRDefault="00934F57" w:rsidP="00F8664D">
      <w:pPr>
        <w:spacing w:line="276" w:lineRule="auto"/>
        <w:jc w:val="both"/>
        <w:rPr>
          <w:rFonts w:ascii="Times New Roman" w:hAnsi="Times New Roman" w:cs="Times New Roman"/>
          <w:sz w:val="24"/>
          <w:szCs w:val="24"/>
        </w:rPr>
      </w:pPr>
    </w:p>
    <w:p w14:paraId="477DF849" w14:textId="77777777" w:rsidR="00934F57" w:rsidRDefault="00934F57" w:rsidP="00F8664D">
      <w:pPr>
        <w:spacing w:line="276" w:lineRule="auto"/>
        <w:jc w:val="both"/>
        <w:rPr>
          <w:rFonts w:ascii="Times New Roman" w:hAnsi="Times New Roman" w:cs="Times New Roman"/>
          <w:sz w:val="24"/>
          <w:szCs w:val="24"/>
        </w:rPr>
      </w:pPr>
    </w:p>
    <w:p w14:paraId="05E11ABB" w14:textId="3A5AC680"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7.</w:t>
      </w:r>
      <w:r w:rsidRPr="00545E8F">
        <w:rPr>
          <w:rFonts w:ascii="Times New Roman" w:hAnsi="Times New Roman" w:cs="Times New Roman"/>
          <w:sz w:val="24"/>
          <w:szCs w:val="24"/>
        </w:rPr>
        <w:tab/>
      </w:r>
      <w:r w:rsidRPr="00545E8F">
        <w:rPr>
          <w:rFonts w:ascii="Times New Roman" w:hAnsi="Times New Roman" w:cs="Times New Roman"/>
          <w:b/>
          <w:bCs/>
          <w:sz w:val="24"/>
          <w:szCs w:val="24"/>
        </w:rPr>
        <w:t>Prudence</w:t>
      </w:r>
    </w:p>
    <w:p w14:paraId="3966E025" w14:textId="215E7054"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lastRenderedPageBreak/>
        <w:t>There is a great inclusion of a degree of caution in the exercise of the judgments needed in making the estimates required under conditions of uncertainty, such that assets or revenue are not overstated while liabilities or expenses are not understated in the General-Purpose Financial Statements information.</w:t>
      </w:r>
    </w:p>
    <w:p w14:paraId="3AB1B09A"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8.</w:t>
      </w:r>
      <w:r w:rsidRPr="00545E8F">
        <w:rPr>
          <w:rFonts w:ascii="Times New Roman" w:hAnsi="Times New Roman" w:cs="Times New Roman"/>
          <w:sz w:val="24"/>
          <w:szCs w:val="24"/>
        </w:rPr>
        <w:tab/>
      </w:r>
      <w:r w:rsidRPr="00545E8F">
        <w:rPr>
          <w:rFonts w:ascii="Times New Roman" w:hAnsi="Times New Roman" w:cs="Times New Roman"/>
          <w:b/>
          <w:bCs/>
          <w:sz w:val="24"/>
          <w:szCs w:val="24"/>
        </w:rPr>
        <w:t>Neutrality</w:t>
      </w:r>
    </w:p>
    <w:p w14:paraId="5EDC7095" w14:textId="6D8D1E16"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 xml:space="preserve">The Information on this </w:t>
      </w:r>
      <w:r w:rsidR="00DB624D" w:rsidRPr="00545E8F">
        <w:rPr>
          <w:rFonts w:ascii="Times New Roman" w:hAnsi="Times New Roman" w:cs="Times New Roman"/>
          <w:sz w:val="24"/>
          <w:szCs w:val="24"/>
        </w:rPr>
        <w:t>General</w:t>
      </w:r>
      <w:r w:rsidR="00DB624D">
        <w:rPr>
          <w:rFonts w:ascii="Times New Roman" w:hAnsi="Times New Roman" w:cs="Times New Roman"/>
          <w:sz w:val="24"/>
          <w:szCs w:val="24"/>
        </w:rPr>
        <w:t>-Purpose</w:t>
      </w:r>
      <w:r w:rsidRPr="00545E8F">
        <w:rPr>
          <w:rFonts w:ascii="Times New Roman" w:hAnsi="Times New Roman" w:cs="Times New Roman"/>
          <w:sz w:val="24"/>
          <w:szCs w:val="24"/>
        </w:rPr>
        <w:t xml:space="preserve"> Financial Statements is neutral and free from any bias or presented in a manner designed to influence decision or judgment.</w:t>
      </w:r>
    </w:p>
    <w:p w14:paraId="49D7DE0B"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9.</w:t>
      </w:r>
      <w:r w:rsidRPr="00545E8F">
        <w:rPr>
          <w:rFonts w:ascii="Times New Roman" w:hAnsi="Times New Roman" w:cs="Times New Roman"/>
          <w:sz w:val="24"/>
          <w:szCs w:val="24"/>
        </w:rPr>
        <w:tab/>
      </w:r>
      <w:r w:rsidRPr="00545E8F">
        <w:rPr>
          <w:rFonts w:ascii="Times New Roman" w:hAnsi="Times New Roman" w:cs="Times New Roman"/>
          <w:b/>
          <w:bCs/>
          <w:sz w:val="24"/>
          <w:szCs w:val="24"/>
        </w:rPr>
        <w:t>Verifiability</w:t>
      </w:r>
    </w:p>
    <w:p w14:paraId="1180567D" w14:textId="27A8F35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 xml:space="preserve">The Financial Statements information are presented in the way that assures all the users, that the Financial Statements is based on supporting evidence in a way that it faithfully represents the substance of economic and other phenomena that it purports to represent. </w:t>
      </w:r>
    </w:p>
    <w:p w14:paraId="0382A1CD"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10.</w:t>
      </w:r>
      <w:r w:rsidRPr="00545E8F">
        <w:rPr>
          <w:rFonts w:ascii="Times New Roman" w:hAnsi="Times New Roman" w:cs="Times New Roman"/>
          <w:sz w:val="24"/>
          <w:szCs w:val="24"/>
        </w:rPr>
        <w:tab/>
      </w:r>
      <w:r w:rsidRPr="00545E8F">
        <w:rPr>
          <w:rFonts w:ascii="Times New Roman" w:hAnsi="Times New Roman" w:cs="Times New Roman"/>
          <w:b/>
          <w:bCs/>
          <w:sz w:val="24"/>
          <w:szCs w:val="24"/>
        </w:rPr>
        <w:t>Understandability</w:t>
      </w:r>
    </w:p>
    <w:p w14:paraId="3CB9AA49" w14:textId="78E2C6BD"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 xml:space="preserve">The Financial Statements information </w:t>
      </w:r>
      <w:proofErr w:type="gramStart"/>
      <w:r w:rsidRPr="00545E8F">
        <w:rPr>
          <w:rFonts w:ascii="Times New Roman" w:hAnsi="Times New Roman" w:cs="Times New Roman"/>
          <w:sz w:val="24"/>
          <w:szCs w:val="24"/>
        </w:rPr>
        <w:t>are</w:t>
      </w:r>
      <w:proofErr w:type="gramEnd"/>
      <w:r w:rsidRPr="00545E8F">
        <w:rPr>
          <w:rFonts w:ascii="Times New Roman" w:hAnsi="Times New Roman" w:cs="Times New Roman"/>
          <w:sz w:val="24"/>
          <w:szCs w:val="24"/>
        </w:rPr>
        <w:t xml:space="preserve"> presented in a manner that facilitate expert and non-expert users to comprehend its meaning. For better Understandability, the report is enhanced where information is classified, </w:t>
      </w:r>
      <w:r w:rsidR="001364A9" w:rsidRPr="00545E8F">
        <w:rPr>
          <w:rFonts w:ascii="Times New Roman" w:hAnsi="Times New Roman" w:cs="Times New Roman"/>
          <w:sz w:val="24"/>
          <w:szCs w:val="24"/>
        </w:rPr>
        <w:t>characterized</w:t>
      </w:r>
      <w:r w:rsidRPr="00545E8F">
        <w:rPr>
          <w:rFonts w:ascii="Times New Roman" w:hAnsi="Times New Roman" w:cs="Times New Roman"/>
          <w:sz w:val="24"/>
          <w:szCs w:val="24"/>
        </w:rPr>
        <w:t xml:space="preserve"> and presented clearly and concisely.</w:t>
      </w:r>
    </w:p>
    <w:p w14:paraId="39C69606"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11.</w:t>
      </w:r>
      <w:r w:rsidRPr="00545E8F">
        <w:rPr>
          <w:rFonts w:ascii="Times New Roman" w:hAnsi="Times New Roman" w:cs="Times New Roman"/>
          <w:sz w:val="24"/>
          <w:szCs w:val="24"/>
        </w:rPr>
        <w:tab/>
      </w:r>
      <w:r w:rsidRPr="00545E8F">
        <w:rPr>
          <w:rFonts w:ascii="Times New Roman" w:hAnsi="Times New Roman" w:cs="Times New Roman"/>
          <w:b/>
          <w:bCs/>
          <w:sz w:val="24"/>
          <w:szCs w:val="24"/>
        </w:rPr>
        <w:t>Budget Figures</w:t>
      </w:r>
    </w:p>
    <w:p w14:paraId="5E780901" w14:textId="76FD4C51"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 xml:space="preserve">The Financial Statements of Jigawa State Local Governments have been prepared using the Accrual Basis in accordance with the requirements of International Public Sector Accounting Standards (IPSAS) and in accordance with the provision of 2024 Appropriation Laws of Jigawa State, the revised Financial Regulations, Finance (Control and Management) Act of 1958 as amended, and the 1999 Constitution of the Federal Republic of Nigeria as amended. </w:t>
      </w:r>
    </w:p>
    <w:p w14:paraId="666108FB" w14:textId="4E954AC2" w:rsid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The Accounting Framework of the Jigawa State Local Government Councils focusses on reporting the budgetary activities of the government for the financial year as laid down in the Appropriation Law.</w:t>
      </w:r>
    </w:p>
    <w:p w14:paraId="674F2D1B" w14:textId="289E7261"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12.</w:t>
      </w:r>
      <w:r w:rsidRPr="00545E8F">
        <w:rPr>
          <w:rFonts w:ascii="Times New Roman" w:hAnsi="Times New Roman" w:cs="Times New Roman"/>
          <w:sz w:val="24"/>
          <w:szCs w:val="24"/>
        </w:rPr>
        <w:tab/>
      </w:r>
      <w:r w:rsidRPr="00545E8F">
        <w:rPr>
          <w:rFonts w:ascii="Times New Roman" w:hAnsi="Times New Roman" w:cs="Times New Roman"/>
          <w:b/>
          <w:bCs/>
          <w:sz w:val="24"/>
          <w:szCs w:val="24"/>
        </w:rPr>
        <w:t xml:space="preserve">Revenue: </w:t>
      </w:r>
      <w:r w:rsidR="001364A9" w:rsidRPr="00545E8F">
        <w:rPr>
          <w:rFonts w:ascii="Times New Roman" w:hAnsi="Times New Roman" w:cs="Times New Roman"/>
          <w:sz w:val="24"/>
          <w:szCs w:val="24"/>
        </w:rPr>
        <w:t>Non-Exchange</w:t>
      </w:r>
      <w:r w:rsidRPr="00545E8F">
        <w:rPr>
          <w:rFonts w:ascii="Times New Roman" w:hAnsi="Times New Roman" w:cs="Times New Roman"/>
          <w:sz w:val="24"/>
          <w:szCs w:val="24"/>
        </w:rPr>
        <w:t xml:space="preserve"> Transactions Fees, taxes and Fines. </w:t>
      </w:r>
    </w:p>
    <w:p w14:paraId="63825127"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a.</w:t>
      </w:r>
      <w:r w:rsidRPr="00545E8F">
        <w:rPr>
          <w:rFonts w:ascii="Times New Roman" w:hAnsi="Times New Roman" w:cs="Times New Roman"/>
          <w:sz w:val="24"/>
          <w:szCs w:val="24"/>
        </w:rPr>
        <w:tab/>
        <w:t xml:space="preserve">Revenue from non-exchange transactions such as fees, taxes and fines should be recognized when the event (specify event) occurs and the asset recognition criteria are met. </w:t>
      </w:r>
    </w:p>
    <w:p w14:paraId="19703809" w14:textId="356438F0"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b.</w:t>
      </w:r>
      <w:r w:rsidRPr="00545E8F">
        <w:rPr>
          <w:rFonts w:ascii="Times New Roman" w:hAnsi="Times New Roman" w:cs="Times New Roman"/>
          <w:sz w:val="24"/>
          <w:szCs w:val="24"/>
        </w:rPr>
        <w:tab/>
        <w:t xml:space="preserve">Other </w:t>
      </w:r>
      <w:r w:rsidR="001364A9" w:rsidRPr="00545E8F">
        <w:rPr>
          <w:rFonts w:ascii="Times New Roman" w:hAnsi="Times New Roman" w:cs="Times New Roman"/>
          <w:sz w:val="24"/>
          <w:szCs w:val="24"/>
        </w:rPr>
        <w:t>non-exchange</w:t>
      </w:r>
      <w:r w:rsidRPr="00545E8F">
        <w:rPr>
          <w:rFonts w:ascii="Times New Roman" w:hAnsi="Times New Roman" w:cs="Times New Roman"/>
          <w:sz w:val="24"/>
          <w:szCs w:val="24"/>
        </w:rPr>
        <w:t xml:space="preserve"> revenues are recognized when it is probable that the future economic benefits or service potential associated with the asset will flow to the Entity and the fair value of the asset can be measured reliably. </w:t>
      </w:r>
    </w:p>
    <w:p w14:paraId="52CD4FC1" w14:textId="77777777" w:rsidR="00934F57" w:rsidRDefault="00934F57" w:rsidP="00F8664D">
      <w:pPr>
        <w:spacing w:line="276" w:lineRule="auto"/>
        <w:jc w:val="both"/>
        <w:rPr>
          <w:rFonts w:ascii="Times New Roman" w:hAnsi="Times New Roman" w:cs="Times New Roman"/>
          <w:b/>
          <w:bCs/>
          <w:sz w:val="24"/>
          <w:szCs w:val="24"/>
        </w:rPr>
      </w:pPr>
    </w:p>
    <w:p w14:paraId="334D43E2" w14:textId="77777777" w:rsidR="00934F57" w:rsidRDefault="00934F57" w:rsidP="00F8664D">
      <w:pPr>
        <w:spacing w:line="276" w:lineRule="auto"/>
        <w:jc w:val="both"/>
        <w:rPr>
          <w:rFonts w:ascii="Times New Roman" w:hAnsi="Times New Roman" w:cs="Times New Roman"/>
          <w:b/>
          <w:bCs/>
          <w:sz w:val="24"/>
          <w:szCs w:val="24"/>
        </w:rPr>
      </w:pPr>
    </w:p>
    <w:p w14:paraId="01227635" w14:textId="29797369"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b/>
          <w:bCs/>
          <w:sz w:val="24"/>
          <w:szCs w:val="24"/>
        </w:rPr>
        <w:t>Statutory Allocation</w:t>
      </w:r>
    </w:p>
    <w:p w14:paraId="38707614" w14:textId="2185B431"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lastRenderedPageBreak/>
        <w:t>Statutory allocation is income received from the revenue allocation system wherein funds are allocated to each federating unit from the Federation Account based on certain pre-determined criteria. Statutory allocation is measured at fair value and recognized at point of receipt.</w:t>
      </w:r>
    </w:p>
    <w:p w14:paraId="4D6EA8CB" w14:textId="77777777"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b/>
          <w:bCs/>
          <w:sz w:val="24"/>
          <w:szCs w:val="24"/>
        </w:rPr>
        <w:t>13.</w:t>
      </w:r>
      <w:r w:rsidRPr="00545E8F">
        <w:rPr>
          <w:rFonts w:ascii="Times New Roman" w:hAnsi="Times New Roman" w:cs="Times New Roman"/>
          <w:b/>
          <w:bCs/>
          <w:sz w:val="24"/>
          <w:szCs w:val="24"/>
        </w:rPr>
        <w:tab/>
        <w:t xml:space="preserve">Transfers from other government entities. </w:t>
      </w:r>
    </w:p>
    <w:p w14:paraId="294E512F"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Revenues from non-exchange transactions with other government entities are measured at fair value and recognized on receipt of the asset (cash, goods, services and property) if it is free from conditions and it is probable that the economic benefits or service potential related to the asset will flow to the entity and can be measured reliably.</w:t>
      </w:r>
    </w:p>
    <w:p w14:paraId="3C8D3EF5"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Expenses:</w:t>
      </w:r>
    </w:p>
    <w:p w14:paraId="11B51067"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All expenses should be reported on an accrual basis, i.e. all expenses are to be recognized in the period they are incurred or when the related services are enjoyed, irrespective of when the payment is made.</w:t>
      </w:r>
    </w:p>
    <w:p w14:paraId="6A42F943" w14:textId="77777777"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b/>
          <w:bCs/>
          <w:sz w:val="24"/>
          <w:szCs w:val="24"/>
        </w:rPr>
        <w:t>14.</w:t>
      </w:r>
      <w:r w:rsidRPr="00545E8F">
        <w:rPr>
          <w:rFonts w:ascii="Times New Roman" w:hAnsi="Times New Roman" w:cs="Times New Roman"/>
          <w:b/>
          <w:bCs/>
          <w:sz w:val="24"/>
          <w:szCs w:val="24"/>
        </w:rPr>
        <w:tab/>
        <w:t>Employee Benefits/Pension obligations:</w:t>
      </w:r>
    </w:p>
    <w:p w14:paraId="266161DF"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 xml:space="preserve">Under the Defined Benefits Scheme: </w:t>
      </w:r>
    </w:p>
    <w:p w14:paraId="00F47C63"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a.</w:t>
      </w:r>
      <w:r w:rsidRPr="00545E8F">
        <w:rPr>
          <w:rFonts w:ascii="Times New Roman" w:hAnsi="Times New Roman" w:cs="Times New Roman"/>
          <w:sz w:val="24"/>
          <w:szCs w:val="24"/>
        </w:rPr>
        <w:tab/>
        <w:t>Provision should be made, where applicable, using an actuarial valuation for retirement gratuities. The actuarial valuation determines the extent of anticipated entitlements payable under employment contracts and brings to account a liability using the present value measurement basis, which discounts expected future cash outflows.</w:t>
      </w:r>
    </w:p>
    <w:p w14:paraId="3E54834F" w14:textId="77777777"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b/>
          <w:bCs/>
          <w:sz w:val="24"/>
          <w:szCs w:val="24"/>
        </w:rPr>
        <w:t>15.</w:t>
      </w:r>
      <w:r w:rsidRPr="00545E8F">
        <w:rPr>
          <w:rFonts w:ascii="Times New Roman" w:hAnsi="Times New Roman" w:cs="Times New Roman"/>
          <w:b/>
          <w:bCs/>
          <w:sz w:val="24"/>
          <w:szCs w:val="24"/>
        </w:rPr>
        <w:tab/>
        <w:t>Statement of Cash flow</w:t>
      </w:r>
    </w:p>
    <w:p w14:paraId="4B3E4105"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This statement shall be prepared using the direct method in accordance with the format provided in the GPFS.</w:t>
      </w:r>
    </w:p>
    <w:p w14:paraId="2E514185"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The Cash flow statement shall consist of three (3) sections:</w:t>
      </w:r>
    </w:p>
    <w:p w14:paraId="2E878F00" w14:textId="77777777" w:rsidR="00934F57"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a.</w:t>
      </w:r>
      <w:r w:rsidRPr="00545E8F">
        <w:rPr>
          <w:rFonts w:ascii="Times New Roman" w:hAnsi="Times New Roman" w:cs="Times New Roman"/>
          <w:sz w:val="24"/>
          <w:szCs w:val="24"/>
        </w:rPr>
        <w:tab/>
        <w:t>Operating activities – These include cash received from all income sources of the Government and record the cash payments made for the supply of goods and services.</w:t>
      </w:r>
    </w:p>
    <w:p w14:paraId="7B27FA6E" w14:textId="5ED1B7DD"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b.</w:t>
      </w:r>
      <w:r w:rsidRPr="00545E8F">
        <w:rPr>
          <w:rFonts w:ascii="Times New Roman" w:hAnsi="Times New Roman" w:cs="Times New Roman"/>
          <w:sz w:val="24"/>
          <w:szCs w:val="24"/>
        </w:rPr>
        <w:tab/>
        <w:t>Investing activities - These are the activities relating to the acquisition and disposal of Non-Current Assets.</w:t>
      </w:r>
    </w:p>
    <w:p w14:paraId="5F0125E6" w14:textId="6D0BF91A" w:rsidR="00F8664D"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c.</w:t>
      </w:r>
      <w:r w:rsidRPr="00545E8F">
        <w:rPr>
          <w:rFonts w:ascii="Times New Roman" w:hAnsi="Times New Roman" w:cs="Times New Roman"/>
          <w:sz w:val="24"/>
          <w:szCs w:val="24"/>
        </w:rPr>
        <w:tab/>
        <w:t>Financing activities - These comprise the change in Equity and Debt capital structure of the PSE.</w:t>
      </w:r>
    </w:p>
    <w:p w14:paraId="30D11532" w14:textId="77777777"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b/>
          <w:bCs/>
          <w:sz w:val="24"/>
          <w:szCs w:val="24"/>
        </w:rPr>
        <w:t>16.</w:t>
      </w:r>
      <w:r w:rsidRPr="00545E8F">
        <w:rPr>
          <w:rFonts w:ascii="Times New Roman" w:hAnsi="Times New Roman" w:cs="Times New Roman"/>
          <w:b/>
          <w:bCs/>
          <w:sz w:val="24"/>
          <w:szCs w:val="24"/>
        </w:rPr>
        <w:tab/>
        <w:t>Cash &amp; Cash Equivalent</w:t>
      </w:r>
    </w:p>
    <w:p w14:paraId="6026F58E" w14:textId="715B9E18"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a.</w:t>
      </w:r>
      <w:r w:rsidRPr="00545E8F">
        <w:rPr>
          <w:rFonts w:ascii="Times New Roman" w:hAnsi="Times New Roman" w:cs="Times New Roman"/>
          <w:sz w:val="24"/>
          <w:szCs w:val="24"/>
        </w:rPr>
        <w:tab/>
        <w:t>Cash and Cash Equivalent means cash balances on hand, held in bank accounts, demand deposits and other highly liquid investments with an original maturity of 3 months or less in which the Entity invests as part of its day-to-day cash management and which are readily convertible to known amounts of cash and are subject to insignificant risk of changes in value.</w:t>
      </w:r>
    </w:p>
    <w:p w14:paraId="165BC4B1" w14:textId="62CCFCD2"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lastRenderedPageBreak/>
        <w:t>b.</w:t>
      </w:r>
      <w:r w:rsidRPr="00545E8F">
        <w:rPr>
          <w:rFonts w:ascii="Times New Roman" w:hAnsi="Times New Roman" w:cs="Times New Roman"/>
          <w:sz w:val="24"/>
          <w:szCs w:val="24"/>
        </w:rPr>
        <w:tab/>
        <w:t>Cash &amp; Cash Equivalent is reported under Current Assets in the Statement of Financial Position</w:t>
      </w:r>
    </w:p>
    <w:p w14:paraId="5995774B" w14:textId="77777777"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b/>
          <w:bCs/>
          <w:sz w:val="24"/>
          <w:szCs w:val="24"/>
        </w:rPr>
        <w:t>17.</w:t>
      </w:r>
      <w:r w:rsidRPr="00545E8F">
        <w:rPr>
          <w:rFonts w:ascii="Times New Roman" w:hAnsi="Times New Roman" w:cs="Times New Roman"/>
          <w:b/>
          <w:bCs/>
          <w:sz w:val="24"/>
          <w:szCs w:val="24"/>
        </w:rPr>
        <w:tab/>
        <w:t>Accounts Receivable:</w:t>
      </w:r>
    </w:p>
    <w:p w14:paraId="560E4C8A"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a.</w:t>
      </w:r>
      <w:r w:rsidRPr="00545E8F">
        <w:rPr>
          <w:rFonts w:ascii="Times New Roman" w:hAnsi="Times New Roman" w:cs="Times New Roman"/>
          <w:sz w:val="24"/>
          <w:szCs w:val="24"/>
        </w:rPr>
        <w:tab/>
        <w:t>Receivables from Exchange Transactions</w:t>
      </w:r>
    </w:p>
    <w:p w14:paraId="7D9B313B"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i.</w:t>
      </w:r>
      <w:r w:rsidRPr="00545E8F">
        <w:rPr>
          <w:rFonts w:ascii="Times New Roman" w:hAnsi="Times New Roman" w:cs="Times New Roman"/>
          <w:sz w:val="24"/>
          <w:szCs w:val="24"/>
        </w:rPr>
        <w:tab/>
        <w:t>Receivables from exchange transactions are recognized initially at fair value and subsequently measured at amortized cost using the effective interest method, less provision for impairment.</w:t>
      </w:r>
    </w:p>
    <w:p w14:paraId="45BCA23D"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ii.</w:t>
      </w:r>
      <w:r w:rsidRPr="00545E8F">
        <w:rPr>
          <w:rFonts w:ascii="Times New Roman" w:hAnsi="Times New Roman" w:cs="Times New Roman"/>
          <w:sz w:val="24"/>
          <w:szCs w:val="24"/>
        </w:rPr>
        <w:tab/>
        <w:t xml:space="preserve">A provision for impairment of receivables is established when there is objective evidence that the Entity will not be able to collect all amounts due according to the original terms of the receivables. </w:t>
      </w:r>
    </w:p>
    <w:p w14:paraId="70A8D719" w14:textId="77777777"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b/>
          <w:bCs/>
          <w:sz w:val="24"/>
          <w:szCs w:val="24"/>
        </w:rPr>
        <w:t>18.</w:t>
      </w:r>
      <w:r w:rsidRPr="00545E8F">
        <w:rPr>
          <w:rFonts w:ascii="Times New Roman" w:hAnsi="Times New Roman" w:cs="Times New Roman"/>
          <w:b/>
          <w:bCs/>
          <w:sz w:val="24"/>
          <w:szCs w:val="24"/>
        </w:rPr>
        <w:tab/>
        <w:t>Prepayments</w:t>
      </w:r>
    </w:p>
    <w:p w14:paraId="6E912E55" w14:textId="277F691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a.</w:t>
      </w:r>
      <w:r w:rsidRPr="00545E8F">
        <w:rPr>
          <w:rFonts w:ascii="Times New Roman" w:hAnsi="Times New Roman" w:cs="Times New Roman"/>
          <w:sz w:val="24"/>
          <w:szCs w:val="24"/>
        </w:rPr>
        <w:tab/>
        <w:t xml:space="preserve">Prepaid expenses are amounts paid in advance of receipt of goods or services. </w:t>
      </w:r>
    </w:p>
    <w:p w14:paraId="16176234" w14:textId="5DEF5638"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b.</w:t>
      </w:r>
      <w:r w:rsidRPr="00545E8F">
        <w:rPr>
          <w:rFonts w:ascii="Times New Roman" w:hAnsi="Times New Roman" w:cs="Times New Roman"/>
          <w:sz w:val="24"/>
          <w:szCs w:val="24"/>
        </w:rPr>
        <w:tab/>
        <w:t>They can represent payments made early in the year for benefits to be received over the latter part of the year, or payments made in one year for benefits to be received in subsequent years.</w:t>
      </w:r>
    </w:p>
    <w:p w14:paraId="38A5A0EA" w14:textId="36320C8B"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c.</w:t>
      </w:r>
      <w:r w:rsidRPr="00545E8F">
        <w:rPr>
          <w:rFonts w:ascii="Times New Roman" w:hAnsi="Times New Roman" w:cs="Times New Roman"/>
          <w:sz w:val="24"/>
          <w:szCs w:val="24"/>
        </w:rPr>
        <w:tab/>
        <w:t>Prepayments for which the benefits are to be derived in the following 12 months should be classified as Current Assets.  Where the benefits are expected to accrue beyond the next 12 months, it should be accounted for as a Long-Term Prepayment and classified as Non-Current Assets.</w:t>
      </w:r>
    </w:p>
    <w:p w14:paraId="451AF08C" w14:textId="77777777"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b/>
          <w:bCs/>
          <w:sz w:val="24"/>
          <w:szCs w:val="24"/>
        </w:rPr>
        <w:t>19.</w:t>
      </w:r>
      <w:r w:rsidRPr="00545E8F">
        <w:rPr>
          <w:rFonts w:ascii="Times New Roman" w:hAnsi="Times New Roman" w:cs="Times New Roman"/>
          <w:b/>
          <w:bCs/>
          <w:sz w:val="24"/>
          <w:szCs w:val="24"/>
        </w:rPr>
        <w:tab/>
        <w:t>Property, Plant &amp; Equipment (PPE)</w:t>
      </w:r>
    </w:p>
    <w:p w14:paraId="358B05E6"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a.</w:t>
      </w:r>
      <w:r w:rsidRPr="00545E8F">
        <w:rPr>
          <w:rFonts w:ascii="Times New Roman" w:hAnsi="Times New Roman" w:cs="Times New Roman"/>
          <w:sz w:val="24"/>
          <w:szCs w:val="24"/>
        </w:rPr>
        <w:tab/>
        <w:t>All PPE are stated at historical cost less accumulated depreciation and any impairment losses. Historical cost includes expenditure that is directly attributable to the acquisition of the assets.</w:t>
      </w:r>
    </w:p>
    <w:p w14:paraId="316E16A2" w14:textId="6A2BF898"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b.</w:t>
      </w:r>
      <w:r w:rsidRPr="00545E8F">
        <w:rPr>
          <w:rFonts w:ascii="Times New Roman" w:hAnsi="Times New Roman" w:cs="Times New Roman"/>
          <w:sz w:val="24"/>
          <w:szCs w:val="24"/>
        </w:rPr>
        <w:tab/>
        <w:t xml:space="preserve">Where an asset is acquired in a non-exchange transaction for nil or nominal consideration the asset is initially </w:t>
      </w:r>
      <w:r w:rsidR="00934F57" w:rsidRPr="00545E8F">
        <w:rPr>
          <w:rFonts w:ascii="Times New Roman" w:hAnsi="Times New Roman" w:cs="Times New Roman"/>
          <w:sz w:val="24"/>
          <w:szCs w:val="24"/>
        </w:rPr>
        <w:t>recognized</w:t>
      </w:r>
      <w:r w:rsidRPr="00545E8F">
        <w:rPr>
          <w:rFonts w:ascii="Times New Roman" w:hAnsi="Times New Roman" w:cs="Times New Roman"/>
          <w:sz w:val="24"/>
          <w:szCs w:val="24"/>
        </w:rPr>
        <w:t xml:space="preserve"> at fair value, where fair value can be reliably determined, and as income systematically over the useful life of the PPE in the Statement of Financial Performance.</w:t>
      </w:r>
    </w:p>
    <w:p w14:paraId="676702AA"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c.</w:t>
      </w:r>
      <w:r w:rsidRPr="00545E8F">
        <w:rPr>
          <w:rFonts w:ascii="Times New Roman" w:hAnsi="Times New Roman" w:cs="Times New Roman"/>
          <w:sz w:val="24"/>
          <w:szCs w:val="24"/>
        </w:rPr>
        <w:tab/>
        <w:t>The following shall constitute expenditure on PPE:</w:t>
      </w:r>
    </w:p>
    <w:p w14:paraId="75DE2E56"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i.</w:t>
      </w:r>
      <w:r w:rsidRPr="00545E8F">
        <w:rPr>
          <w:rFonts w:ascii="Times New Roman" w:hAnsi="Times New Roman" w:cs="Times New Roman"/>
          <w:sz w:val="24"/>
          <w:szCs w:val="24"/>
        </w:rPr>
        <w:tab/>
        <w:t>Amounts incurred on the purchase of such assets plus other relevant cost incidental to bringing the asset to working condition. Consumables are to be wholly expensed irrespective of their amounts.</w:t>
      </w:r>
    </w:p>
    <w:p w14:paraId="67A49FBD" w14:textId="1DBA8CA5"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ii.</w:t>
      </w:r>
      <w:r w:rsidRPr="00545E8F">
        <w:rPr>
          <w:rFonts w:ascii="Times New Roman" w:hAnsi="Times New Roman" w:cs="Times New Roman"/>
          <w:sz w:val="24"/>
          <w:szCs w:val="24"/>
        </w:rPr>
        <w:tab/>
        <w:t xml:space="preserve">Construction Cost- including materials, </w:t>
      </w:r>
      <w:proofErr w:type="spellStart"/>
      <w:r w:rsidR="00934F57">
        <w:rPr>
          <w:rFonts w:ascii="Times New Roman" w:hAnsi="Times New Roman" w:cs="Times New Roman"/>
          <w:sz w:val="24"/>
          <w:szCs w:val="24"/>
        </w:rPr>
        <w:t>l</w:t>
      </w:r>
      <w:r w:rsidRPr="00545E8F">
        <w:rPr>
          <w:rFonts w:ascii="Times New Roman" w:hAnsi="Times New Roman" w:cs="Times New Roman"/>
          <w:sz w:val="24"/>
          <w:szCs w:val="24"/>
        </w:rPr>
        <w:t>abour</w:t>
      </w:r>
      <w:proofErr w:type="spellEnd"/>
      <w:r w:rsidRPr="00545E8F">
        <w:rPr>
          <w:rFonts w:ascii="Times New Roman" w:hAnsi="Times New Roman" w:cs="Times New Roman"/>
          <w:sz w:val="24"/>
          <w:szCs w:val="24"/>
        </w:rPr>
        <w:t xml:space="preserve"> and overheads.</w:t>
      </w:r>
    </w:p>
    <w:p w14:paraId="1154D725" w14:textId="2EE4DD99" w:rsidR="00F8664D"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iii.</w:t>
      </w:r>
      <w:r w:rsidRPr="00545E8F">
        <w:rPr>
          <w:rFonts w:ascii="Times New Roman" w:hAnsi="Times New Roman" w:cs="Times New Roman"/>
          <w:sz w:val="24"/>
          <w:szCs w:val="24"/>
        </w:rPr>
        <w:tab/>
        <w:t xml:space="preserve">Improvements to existing PPE, which significantly enhance their useful life.   </w:t>
      </w:r>
      <w:r w:rsidRPr="00545E8F">
        <w:rPr>
          <w:rFonts w:ascii="Times New Roman" w:hAnsi="Times New Roman" w:cs="Times New Roman"/>
          <w:sz w:val="24"/>
          <w:szCs w:val="24"/>
        </w:rPr>
        <w:tab/>
      </w:r>
      <w:r w:rsidRPr="00545E8F">
        <w:rPr>
          <w:rFonts w:ascii="Times New Roman" w:hAnsi="Times New Roman" w:cs="Times New Roman"/>
          <w:sz w:val="24"/>
          <w:szCs w:val="24"/>
        </w:rPr>
        <w:tab/>
      </w:r>
    </w:p>
    <w:p w14:paraId="2085D012" w14:textId="4A17E263"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b/>
          <w:bCs/>
          <w:sz w:val="24"/>
          <w:szCs w:val="24"/>
        </w:rPr>
        <w:lastRenderedPageBreak/>
        <w:t>Cost:</w:t>
      </w:r>
    </w:p>
    <w:p w14:paraId="488C05C0"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The cost of an item of PPE shall comprise: its purchase price, including import and non-recurring costs and any directly attributable costs of bringing the asset to its location and working condition for its intended use. Any trade discounts and rebates are deducted in arriving at the purchase price.</w:t>
      </w:r>
    </w:p>
    <w:p w14:paraId="3EC56DF8"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a.</w:t>
      </w:r>
      <w:r w:rsidRPr="00545E8F">
        <w:rPr>
          <w:rFonts w:ascii="Times New Roman" w:hAnsi="Times New Roman" w:cs="Times New Roman"/>
          <w:sz w:val="24"/>
          <w:szCs w:val="24"/>
        </w:rPr>
        <w:tab/>
        <w:t>PPE shall be stated at cost or at their professional valuation less accumulated depreciation and impairment.</w:t>
      </w:r>
    </w:p>
    <w:p w14:paraId="3718870E"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b.</w:t>
      </w:r>
      <w:r w:rsidRPr="00545E8F">
        <w:rPr>
          <w:rFonts w:ascii="Times New Roman" w:hAnsi="Times New Roman" w:cs="Times New Roman"/>
          <w:sz w:val="24"/>
          <w:szCs w:val="24"/>
        </w:rPr>
        <w:tab/>
        <w:t>The amount recorded for a PPE shall include all costs directly related to its acquisition including expenditures incurred to place the asset in usable condition for the service. Accordingly, the cost of the assets shall include acquisition or construction costs, custom duties, transportation charges, professional fees and installation costs. Cash discounts shall be netted against the cost of the assets.</w:t>
      </w:r>
    </w:p>
    <w:p w14:paraId="3D046F74" w14:textId="7D5661F9"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c.</w:t>
      </w:r>
      <w:r w:rsidRPr="00545E8F">
        <w:rPr>
          <w:rFonts w:ascii="Times New Roman" w:hAnsi="Times New Roman" w:cs="Times New Roman"/>
          <w:sz w:val="24"/>
          <w:szCs w:val="24"/>
        </w:rPr>
        <w:tab/>
        <w:t>Depreciation on assets is charged on a straight-line basis over the useful life of the asset.</w:t>
      </w:r>
    </w:p>
    <w:p w14:paraId="707AEF12" w14:textId="36F9874D"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Depreciation is charged at rates calculated to allocate the cost or valuation of the asset less any estimated residual value over its remaining useful life:</w:t>
      </w:r>
    </w:p>
    <w:p w14:paraId="253F3E6E" w14:textId="446BF9AE"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Jigawa State Local Government’s Class of PPE and the relevant useful lives and depreciation rates are:</w:t>
      </w:r>
    </w:p>
    <w:p w14:paraId="064ADA3B"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Buildings</w:t>
      </w:r>
      <w:r w:rsidRPr="00545E8F">
        <w:rPr>
          <w:rFonts w:ascii="Times New Roman" w:hAnsi="Times New Roman" w:cs="Times New Roman"/>
          <w:sz w:val="24"/>
          <w:szCs w:val="24"/>
        </w:rPr>
        <w:tab/>
      </w:r>
      <w:r w:rsidRPr="00545E8F">
        <w:rPr>
          <w:rFonts w:ascii="Times New Roman" w:hAnsi="Times New Roman" w:cs="Times New Roman"/>
          <w:sz w:val="24"/>
          <w:szCs w:val="24"/>
        </w:rPr>
        <w:tab/>
      </w:r>
      <w:r w:rsidRPr="00545E8F">
        <w:rPr>
          <w:rFonts w:ascii="Times New Roman" w:hAnsi="Times New Roman" w:cs="Times New Roman"/>
          <w:sz w:val="24"/>
          <w:szCs w:val="24"/>
        </w:rPr>
        <w:tab/>
        <w:t>2% = 50years</w:t>
      </w:r>
    </w:p>
    <w:p w14:paraId="00A2BBDD"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Land</w:t>
      </w:r>
      <w:r w:rsidRPr="00545E8F">
        <w:rPr>
          <w:rFonts w:ascii="Times New Roman" w:hAnsi="Times New Roman" w:cs="Times New Roman"/>
          <w:sz w:val="24"/>
          <w:szCs w:val="24"/>
        </w:rPr>
        <w:tab/>
      </w:r>
      <w:r w:rsidRPr="00545E8F">
        <w:rPr>
          <w:rFonts w:ascii="Times New Roman" w:hAnsi="Times New Roman" w:cs="Times New Roman"/>
          <w:sz w:val="24"/>
          <w:szCs w:val="24"/>
        </w:rPr>
        <w:tab/>
      </w:r>
      <w:r w:rsidRPr="00545E8F">
        <w:rPr>
          <w:rFonts w:ascii="Times New Roman" w:hAnsi="Times New Roman" w:cs="Times New Roman"/>
          <w:sz w:val="24"/>
          <w:szCs w:val="24"/>
        </w:rPr>
        <w:tab/>
      </w:r>
      <w:r w:rsidRPr="00545E8F">
        <w:rPr>
          <w:rFonts w:ascii="Times New Roman" w:hAnsi="Times New Roman" w:cs="Times New Roman"/>
          <w:sz w:val="24"/>
          <w:szCs w:val="24"/>
        </w:rPr>
        <w:tab/>
        <w:t>2% =50 years</w:t>
      </w:r>
    </w:p>
    <w:p w14:paraId="7E0DCA20"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Plant &amp; Machinery</w:t>
      </w:r>
      <w:r w:rsidRPr="00545E8F">
        <w:rPr>
          <w:rFonts w:ascii="Times New Roman" w:hAnsi="Times New Roman" w:cs="Times New Roman"/>
          <w:sz w:val="24"/>
          <w:szCs w:val="24"/>
        </w:rPr>
        <w:tab/>
      </w:r>
      <w:r w:rsidRPr="00545E8F">
        <w:rPr>
          <w:rFonts w:ascii="Times New Roman" w:hAnsi="Times New Roman" w:cs="Times New Roman"/>
          <w:sz w:val="24"/>
          <w:szCs w:val="24"/>
        </w:rPr>
        <w:tab/>
        <w:t>6.67% = 15years</w:t>
      </w:r>
    </w:p>
    <w:p w14:paraId="72101A58" w14:textId="223D69C1" w:rsidR="008969BF" w:rsidRPr="00545E8F" w:rsidRDefault="0097246D"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Furniture &amp; Fittings</w:t>
      </w:r>
      <w:r w:rsidRPr="00545E8F">
        <w:rPr>
          <w:rFonts w:ascii="Times New Roman" w:hAnsi="Times New Roman" w:cs="Times New Roman"/>
          <w:sz w:val="24"/>
          <w:szCs w:val="24"/>
        </w:rPr>
        <w:tab/>
      </w:r>
      <w:r w:rsidR="008969BF" w:rsidRPr="00545E8F">
        <w:rPr>
          <w:rFonts w:ascii="Times New Roman" w:hAnsi="Times New Roman" w:cs="Times New Roman"/>
          <w:sz w:val="24"/>
          <w:szCs w:val="24"/>
        </w:rPr>
        <w:t>10%=10 years</w:t>
      </w:r>
    </w:p>
    <w:p w14:paraId="6ECF9CEC" w14:textId="1DC85CE8"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Motor Vehicles</w:t>
      </w:r>
      <w:r w:rsidRPr="00545E8F">
        <w:rPr>
          <w:rFonts w:ascii="Times New Roman" w:hAnsi="Times New Roman" w:cs="Times New Roman"/>
          <w:sz w:val="24"/>
          <w:szCs w:val="24"/>
        </w:rPr>
        <w:tab/>
      </w:r>
      <w:r w:rsidRPr="00545E8F">
        <w:rPr>
          <w:rFonts w:ascii="Times New Roman" w:hAnsi="Times New Roman" w:cs="Times New Roman"/>
          <w:sz w:val="24"/>
          <w:szCs w:val="24"/>
        </w:rPr>
        <w:tab/>
        <w:t>20 = 5 years</w:t>
      </w:r>
    </w:p>
    <w:p w14:paraId="2DC40CC9"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Office Equipment</w:t>
      </w:r>
      <w:r w:rsidRPr="00545E8F">
        <w:rPr>
          <w:rFonts w:ascii="Times New Roman" w:hAnsi="Times New Roman" w:cs="Times New Roman"/>
          <w:sz w:val="24"/>
          <w:szCs w:val="24"/>
        </w:rPr>
        <w:tab/>
      </w:r>
      <w:r w:rsidRPr="00545E8F">
        <w:rPr>
          <w:rFonts w:ascii="Times New Roman" w:hAnsi="Times New Roman" w:cs="Times New Roman"/>
          <w:sz w:val="24"/>
          <w:szCs w:val="24"/>
        </w:rPr>
        <w:tab/>
        <w:t>20%= 5 years</w:t>
      </w:r>
    </w:p>
    <w:p w14:paraId="552B4905" w14:textId="77777777" w:rsidR="008969BF" w:rsidRPr="00545E8F" w:rsidRDefault="008969BF" w:rsidP="00F8664D">
      <w:pPr>
        <w:spacing w:line="276" w:lineRule="auto"/>
        <w:jc w:val="both"/>
        <w:rPr>
          <w:rFonts w:ascii="Times New Roman" w:hAnsi="Times New Roman" w:cs="Times New Roman"/>
          <w:sz w:val="24"/>
          <w:szCs w:val="24"/>
        </w:rPr>
      </w:pPr>
    </w:p>
    <w:p w14:paraId="789D2206"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The assets’ residual values and useful lives are reviewed, and adjusted prospectively, if appropriate, at the end of each reporting period.</w:t>
      </w:r>
    </w:p>
    <w:p w14:paraId="3F2F3EE2" w14:textId="2048DE83" w:rsidR="008969BF" w:rsidRPr="00545E8F" w:rsidRDefault="008969BF" w:rsidP="00F8664D">
      <w:pPr>
        <w:spacing w:line="276" w:lineRule="auto"/>
        <w:jc w:val="both"/>
        <w:rPr>
          <w:rFonts w:ascii="Times New Roman" w:hAnsi="Times New Roman" w:cs="Times New Roman"/>
          <w:b/>
          <w:bCs/>
          <w:sz w:val="24"/>
          <w:szCs w:val="24"/>
        </w:rPr>
      </w:pPr>
      <w:proofErr w:type="gramStart"/>
      <w:r w:rsidRPr="00545E8F">
        <w:rPr>
          <w:rFonts w:ascii="Times New Roman" w:hAnsi="Times New Roman" w:cs="Times New Roman"/>
          <w:b/>
          <w:bCs/>
          <w:sz w:val="24"/>
          <w:szCs w:val="24"/>
        </w:rPr>
        <w:t>2</w:t>
      </w:r>
      <w:r w:rsidR="006148D7">
        <w:rPr>
          <w:rFonts w:ascii="Times New Roman" w:hAnsi="Times New Roman" w:cs="Times New Roman"/>
          <w:b/>
          <w:bCs/>
          <w:sz w:val="24"/>
          <w:szCs w:val="24"/>
        </w:rPr>
        <w:t xml:space="preserve"> </w:t>
      </w:r>
      <w:r w:rsidRPr="00545E8F">
        <w:rPr>
          <w:rFonts w:ascii="Times New Roman" w:hAnsi="Times New Roman" w:cs="Times New Roman"/>
          <w:b/>
          <w:bCs/>
          <w:sz w:val="24"/>
          <w:szCs w:val="24"/>
        </w:rPr>
        <w:t>0.</w:t>
      </w:r>
      <w:proofErr w:type="gramEnd"/>
      <w:r w:rsidRPr="00545E8F">
        <w:rPr>
          <w:rFonts w:ascii="Times New Roman" w:hAnsi="Times New Roman" w:cs="Times New Roman"/>
          <w:b/>
          <w:bCs/>
          <w:sz w:val="24"/>
          <w:szCs w:val="24"/>
        </w:rPr>
        <w:tab/>
        <w:t>Deposits</w:t>
      </w:r>
    </w:p>
    <w:p w14:paraId="128C43F0"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a.</w:t>
      </w:r>
      <w:r w:rsidRPr="00545E8F">
        <w:rPr>
          <w:rFonts w:ascii="Times New Roman" w:hAnsi="Times New Roman" w:cs="Times New Roman"/>
          <w:sz w:val="24"/>
          <w:szCs w:val="24"/>
        </w:rPr>
        <w:tab/>
        <w:t xml:space="preserve">Deposits consist of resource held in custody on behalf of third parties. </w:t>
      </w:r>
    </w:p>
    <w:p w14:paraId="2A170DE1"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b.</w:t>
      </w:r>
      <w:r w:rsidRPr="00545E8F">
        <w:rPr>
          <w:rFonts w:ascii="Times New Roman" w:hAnsi="Times New Roman" w:cs="Times New Roman"/>
          <w:sz w:val="24"/>
          <w:szCs w:val="24"/>
        </w:rPr>
        <w:tab/>
        <w:t>Deposits can also represent payments received in advance for goods/services to be offered later.</w:t>
      </w:r>
    </w:p>
    <w:p w14:paraId="7057916D" w14:textId="38AF6E7E" w:rsidR="00F8664D"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lastRenderedPageBreak/>
        <w:t>c.</w:t>
      </w:r>
      <w:r w:rsidRPr="00545E8F">
        <w:rPr>
          <w:rFonts w:ascii="Times New Roman" w:hAnsi="Times New Roman" w:cs="Times New Roman"/>
          <w:sz w:val="24"/>
          <w:szCs w:val="24"/>
        </w:rPr>
        <w:tab/>
        <w:t>Deposits, for which the services are to be offered within 12 months from the end of the reporting period, shall be classified as Current Liabilities. Where the services are expected to span beyond the next 12 months after the end of reporting period, it shall be accounted for as a Non-Current Deposits and classified as Non-Current Liabilities.</w:t>
      </w:r>
    </w:p>
    <w:p w14:paraId="12A224F9" w14:textId="7B764251"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b/>
          <w:bCs/>
          <w:sz w:val="24"/>
          <w:szCs w:val="24"/>
        </w:rPr>
        <w:t>21. Reserves</w:t>
      </w:r>
    </w:p>
    <w:p w14:paraId="4665F689" w14:textId="3D2EB895"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Reserves are classified under equity in the Statement of Financial Position and include: Surpluses/ (Deficit) Reserve, Translation Reserve, Revaluation Reserve, Fair Value Reserve and other Reserves.</w:t>
      </w:r>
    </w:p>
    <w:p w14:paraId="1E89F124" w14:textId="27636566"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b/>
          <w:bCs/>
          <w:sz w:val="24"/>
          <w:szCs w:val="24"/>
        </w:rPr>
        <w:t xml:space="preserve">22. Transfers to other government entities </w:t>
      </w:r>
    </w:p>
    <w:p w14:paraId="2CF4AB1A"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Transfers to other government entities are non-exchange items and are recognized as expenses in the Statement of Financial Performance.</w:t>
      </w:r>
    </w:p>
    <w:p w14:paraId="4154C0B0" w14:textId="77777777" w:rsidR="008969BF" w:rsidRPr="00545E8F" w:rsidRDefault="008969BF" w:rsidP="00F8664D">
      <w:pPr>
        <w:spacing w:line="276" w:lineRule="auto"/>
        <w:jc w:val="both"/>
        <w:rPr>
          <w:rFonts w:ascii="Times New Roman" w:hAnsi="Times New Roman" w:cs="Times New Roman"/>
          <w:sz w:val="24"/>
          <w:szCs w:val="24"/>
        </w:rPr>
      </w:pPr>
    </w:p>
    <w:p w14:paraId="1584A08A" w14:textId="77777777" w:rsidR="0010025C" w:rsidRPr="00545E8F" w:rsidRDefault="0010025C" w:rsidP="00F8664D">
      <w:pPr>
        <w:spacing w:line="276" w:lineRule="auto"/>
        <w:jc w:val="both"/>
        <w:rPr>
          <w:rFonts w:ascii="Times New Roman" w:hAnsi="Times New Roman" w:cs="Times New Roman"/>
          <w:sz w:val="24"/>
          <w:szCs w:val="24"/>
        </w:rPr>
      </w:pPr>
    </w:p>
    <w:p w14:paraId="701170AC" w14:textId="77777777" w:rsidR="008B66F3" w:rsidRPr="00545E8F" w:rsidRDefault="008B66F3" w:rsidP="00F8664D">
      <w:pPr>
        <w:spacing w:line="276" w:lineRule="auto"/>
        <w:jc w:val="both"/>
        <w:rPr>
          <w:rFonts w:ascii="Times New Roman" w:hAnsi="Times New Roman" w:cs="Times New Roman"/>
          <w:sz w:val="24"/>
          <w:szCs w:val="24"/>
        </w:rPr>
      </w:pPr>
    </w:p>
    <w:p w14:paraId="266116EE" w14:textId="77777777" w:rsidR="008B66F3" w:rsidRPr="00545E8F" w:rsidRDefault="008B66F3" w:rsidP="00F8664D">
      <w:pPr>
        <w:spacing w:line="276" w:lineRule="auto"/>
        <w:jc w:val="both"/>
        <w:rPr>
          <w:rFonts w:ascii="Times New Roman" w:hAnsi="Times New Roman" w:cs="Times New Roman"/>
          <w:sz w:val="24"/>
          <w:szCs w:val="24"/>
        </w:rPr>
      </w:pPr>
    </w:p>
    <w:p w14:paraId="6419EB92" w14:textId="77777777" w:rsidR="008B66F3" w:rsidRPr="00545E8F" w:rsidRDefault="008B66F3" w:rsidP="00F8664D">
      <w:pPr>
        <w:spacing w:line="276" w:lineRule="auto"/>
        <w:jc w:val="both"/>
        <w:rPr>
          <w:rFonts w:ascii="Times New Roman" w:hAnsi="Times New Roman" w:cs="Times New Roman"/>
          <w:sz w:val="24"/>
          <w:szCs w:val="24"/>
        </w:rPr>
      </w:pPr>
    </w:p>
    <w:p w14:paraId="32C42A6C" w14:textId="77777777" w:rsidR="008B66F3" w:rsidRPr="00545E8F" w:rsidRDefault="008B66F3" w:rsidP="00F8664D">
      <w:pPr>
        <w:spacing w:line="276" w:lineRule="auto"/>
        <w:jc w:val="both"/>
        <w:rPr>
          <w:rFonts w:ascii="Times New Roman" w:hAnsi="Times New Roman" w:cs="Times New Roman"/>
          <w:sz w:val="24"/>
          <w:szCs w:val="24"/>
        </w:rPr>
      </w:pPr>
    </w:p>
    <w:p w14:paraId="58D20922" w14:textId="77777777" w:rsidR="00F8664D" w:rsidRPr="00545E8F" w:rsidRDefault="00F8664D" w:rsidP="00F8664D">
      <w:pPr>
        <w:spacing w:line="276" w:lineRule="auto"/>
        <w:jc w:val="both"/>
        <w:rPr>
          <w:rFonts w:ascii="Times New Roman" w:hAnsi="Times New Roman" w:cs="Times New Roman"/>
          <w:sz w:val="24"/>
          <w:szCs w:val="24"/>
        </w:rPr>
      </w:pPr>
    </w:p>
    <w:p w14:paraId="2085F3CB" w14:textId="77777777" w:rsidR="00F8664D" w:rsidRPr="00545E8F" w:rsidRDefault="00F8664D" w:rsidP="00F8664D">
      <w:pPr>
        <w:spacing w:line="276" w:lineRule="auto"/>
        <w:jc w:val="both"/>
        <w:rPr>
          <w:rFonts w:ascii="Times New Roman" w:hAnsi="Times New Roman" w:cs="Times New Roman"/>
          <w:sz w:val="24"/>
          <w:szCs w:val="24"/>
        </w:rPr>
      </w:pPr>
    </w:p>
    <w:p w14:paraId="47D97682" w14:textId="77777777" w:rsidR="008B66F3" w:rsidRPr="00545E8F" w:rsidRDefault="008B66F3" w:rsidP="00F8664D">
      <w:pPr>
        <w:spacing w:line="276" w:lineRule="auto"/>
        <w:jc w:val="both"/>
        <w:rPr>
          <w:rFonts w:ascii="Times New Roman" w:hAnsi="Times New Roman" w:cs="Times New Roman"/>
          <w:sz w:val="24"/>
          <w:szCs w:val="24"/>
        </w:rPr>
      </w:pPr>
    </w:p>
    <w:p w14:paraId="40BB36B2" w14:textId="77777777" w:rsidR="008B66F3" w:rsidRPr="00545E8F" w:rsidRDefault="008B66F3" w:rsidP="00F8664D">
      <w:pPr>
        <w:spacing w:line="276" w:lineRule="auto"/>
        <w:jc w:val="both"/>
        <w:rPr>
          <w:rFonts w:ascii="Times New Roman" w:hAnsi="Times New Roman" w:cs="Times New Roman"/>
          <w:sz w:val="24"/>
          <w:szCs w:val="24"/>
        </w:rPr>
      </w:pPr>
    </w:p>
    <w:p w14:paraId="292746F4" w14:textId="77777777" w:rsidR="008B66F3" w:rsidRPr="00545E8F" w:rsidRDefault="008B66F3" w:rsidP="00F8664D">
      <w:pPr>
        <w:spacing w:line="276" w:lineRule="auto"/>
        <w:jc w:val="both"/>
        <w:rPr>
          <w:rFonts w:ascii="Times New Roman" w:hAnsi="Times New Roman" w:cs="Times New Roman"/>
          <w:sz w:val="24"/>
          <w:szCs w:val="24"/>
        </w:rPr>
      </w:pPr>
    </w:p>
    <w:p w14:paraId="564DA6A7" w14:textId="77777777" w:rsidR="008B66F3" w:rsidRPr="00545E8F" w:rsidRDefault="008B66F3" w:rsidP="00F8664D">
      <w:pPr>
        <w:spacing w:line="276" w:lineRule="auto"/>
        <w:jc w:val="both"/>
        <w:rPr>
          <w:rFonts w:ascii="Times New Roman" w:hAnsi="Times New Roman" w:cs="Times New Roman"/>
          <w:sz w:val="24"/>
          <w:szCs w:val="24"/>
        </w:rPr>
      </w:pPr>
    </w:p>
    <w:p w14:paraId="0A37656A" w14:textId="77777777" w:rsidR="008B66F3" w:rsidRPr="00545E8F" w:rsidRDefault="008B66F3" w:rsidP="00F8664D">
      <w:pPr>
        <w:spacing w:line="276" w:lineRule="auto"/>
        <w:jc w:val="both"/>
        <w:rPr>
          <w:rFonts w:ascii="Times New Roman" w:hAnsi="Times New Roman" w:cs="Times New Roman"/>
          <w:sz w:val="24"/>
          <w:szCs w:val="24"/>
        </w:rPr>
      </w:pPr>
    </w:p>
    <w:p w14:paraId="31420E3E" w14:textId="18B2691D" w:rsidR="008B66F3" w:rsidRDefault="008B66F3" w:rsidP="00F8664D">
      <w:pPr>
        <w:spacing w:line="276" w:lineRule="auto"/>
        <w:jc w:val="both"/>
        <w:rPr>
          <w:rFonts w:ascii="Times New Roman" w:hAnsi="Times New Roman" w:cs="Times New Roman"/>
          <w:sz w:val="24"/>
          <w:szCs w:val="24"/>
        </w:rPr>
      </w:pPr>
    </w:p>
    <w:p w14:paraId="0F7748D7" w14:textId="6E3228A2" w:rsidR="00934F57" w:rsidRDefault="00934F57" w:rsidP="00F8664D">
      <w:pPr>
        <w:spacing w:line="276" w:lineRule="auto"/>
        <w:jc w:val="both"/>
        <w:rPr>
          <w:rFonts w:ascii="Times New Roman" w:hAnsi="Times New Roman" w:cs="Times New Roman"/>
          <w:sz w:val="24"/>
          <w:szCs w:val="24"/>
        </w:rPr>
      </w:pPr>
    </w:p>
    <w:sectPr w:rsidR="00934F5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8"/>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69BF"/>
    <w:rsid w:val="000435A9"/>
    <w:rsid w:val="0010025C"/>
    <w:rsid w:val="001364A9"/>
    <w:rsid w:val="003B7D5E"/>
    <w:rsid w:val="00545E8F"/>
    <w:rsid w:val="0059497F"/>
    <w:rsid w:val="006148D7"/>
    <w:rsid w:val="00702C31"/>
    <w:rsid w:val="00801AEE"/>
    <w:rsid w:val="008969BF"/>
    <w:rsid w:val="008A30C8"/>
    <w:rsid w:val="008B66F3"/>
    <w:rsid w:val="008C25CC"/>
    <w:rsid w:val="008D3947"/>
    <w:rsid w:val="008E7E35"/>
    <w:rsid w:val="00934F57"/>
    <w:rsid w:val="00942AF8"/>
    <w:rsid w:val="0097246D"/>
    <w:rsid w:val="00990FEF"/>
    <w:rsid w:val="00BA56D4"/>
    <w:rsid w:val="00C56445"/>
    <w:rsid w:val="00D02355"/>
    <w:rsid w:val="00DB624D"/>
    <w:rsid w:val="00F866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074B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16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8969B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8969B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8969BF"/>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8969BF"/>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8969BF"/>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8969B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969B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969B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969B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969BF"/>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8969BF"/>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8969BF"/>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8969BF"/>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8969BF"/>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8969B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969B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969B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969BF"/>
    <w:rPr>
      <w:rFonts w:eastAsiaTheme="majorEastAsia" w:cstheme="majorBidi"/>
      <w:color w:val="272727" w:themeColor="text1" w:themeTint="D8"/>
    </w:rPr>
  </w:style>
  <w:style w:type="paragraph" w:styleId="Title">
    <w:name w:val="Title"/>
    <w:basedOn w:val="Normal"/>
    <w:next w:val="Normal"/>
    <w:link w:val="TitleChar"/>
    <w:uiPriority w:val="10"/>
    <w:qFormat/>
    <w:rsid w:val="008969B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969B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969B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969B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969BF"/>
    <w:pPr>
      <w:spacing w:before="160"/>
      <w:jc w:val="center"/>
    </w:pPr>
    <w:rPr>
      <w:i/>
      <w:iCs/>
      <w:color w:val="404040" w:themeColor="text1" w:themeTint="BF"/>
    </w:rPr>
  </w:style>
  <w:style w:type="character" w:customStyle="1" w:styleId="QuoteChar">
    <w:name w:val="Quote Char"/>
    <w:basedOn w:val="DefaultParagraphFont"/>
    <w:link w:val="Quote"/>
    <w:uiPriority w:val="29"/>
    <w:rsid w:val="008969BF"/>
    <w:rPr>
      <w:i/>
      <w:iCs/>
      <w:color w:val="404040" w:themeColor="text1" w:themeTint="BF"/>
    </w:rPr>
  </w:style>
  <w:style w:type="paragraph" w:styleId="ListParagraph">
    <w:name w:val="List Paragraph"/>
    <w:basedOn w:val="Normal"/>
    <w:uiPriority w:val="34"/>
    <w:qFormat/>
    <w:rsid w:val="008969BF"/>
    <w:pPr>
      <w:ind w:left="720"/>
      <w:contextualSpacing/>
    </w:pPr>
  </w:style>
  <w:style w:type="character" w:styleId="IntenseEmphasis">
    <w:name w:val="Intense Emphasis"/>
    <w:basedOn w:val="DefaultParagraphFont"/>
    <w:uiPriority w:val="21"/>
    <w:qFormat/>
    <w:rsid w:val="008969BF"/>
    <w:rPr>
      <w:i/>
      <w:iCs/>
      <w:color w:val="2F5496" w:themeColor="accent1" w:themeShade="BF"/>
    </w:rPr>
  </w:style>
  <w:style w:type="paragraph" w:styleId="IntenseQuote">
    <w:name w:val="Intense Quote"/>
    <w:basedOn w:val="Normal"/>
    <w:next w:val="Normal"/>
    <w:link w:val="IntenseQuoteChar"/>
    <w:uiPriority w:val="30"/>
    <w:qFormat/>
    <w:rsid w:val="008969B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8969BF"/>
    <w:rPr>
      <w:i/>
      <w:iCs/>
      <w:color w:val="2F5496" w:themeColor="accent1" w:themeShade="BF"/>
    </w:rPr>
  </w:style>
  <w:style w:type="character" w:styleId="IntenseReference">
    <w:name w:val="Intense Reference"/>
    <w:basedOn w:val="DefaultParagraphFont"/>
    <w:uiPriority w:val="32"/>
    <w:qFormat/>
    <w:rsid w:val="008969BF"/>
    <w:rPr>
      <w:b/>
      <w:bCs/>
      <w:smallCaps/>
      <w:color w:val="2F5496" w:themeColor="accent1" w:themeShade="BF"/>
      <w:spacing w:val="5"/>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16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8969B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8969B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8969BF"/>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8969BF"/>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8969BF"/>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8969B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969B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969B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969B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969BF"/>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8969BF"/>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8969BF"/>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8969BF"/>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8969BF"/>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8969B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969B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969B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969BF"/>
    <w:rPr>
      <w:rFonts w:eastAsiaTheme="majorEastAsia" w:cstheme="majorBidi"/>
      <w:color w:val="272727" w:themeColor="text1" w:themeTint="D8"/>
    </w:rPr>
  </w:style>
  <w:style w:type="paragraph" w:styleId="Title">
    <w:name w:val="Title"/>
    <w:basedOn w:val="Normal"/>
    <w:next w:val="Normal"/>
    <w:link w:val="TitleChar"/>
    <w:uiPriority w:val="10"/>
    <w:qFormat/>
    <w:rsid w:val="008969B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969B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969B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969B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969BF"/>
    <w:pPr>
      <w:spacing w:before="160"/>
      <w:jc w:val="center"/>
    </w:pPr>
    <w:rPr>
      <w:i/>
      <w:iCs/>
      <w:color w:val="404040" w:themeColor="text1" w:themeTint="BF"/>
    </w:rPr>
  </w:style>
  <w:style w:type="character" w:customStyle="1" w:styleId="QuoteChar">
    <w:name w:val="Quote Char"/>
    <w:basedOn w:val="DefaultParagraphFont"/>
    <w:link w:val="Quote"/>
    <w:uiPriority w:val="29"/>
    <w:rsid w:val="008969BF"/>
    <w:rPr>
      <w:i/>
      <w:iCs/>
      <w:color w:val="404040" w:themeColor="text1" w:themeTint="BF"/>
    </w:rPr>
  </w:style>
  <w:style w:type="paragraph" w:styleId="ListParagraph">
    <w:name w:val="List Paragraph"/>
    <w:basedOn w:val="Normal"/>
    <w:uiPriority w:val="34"/>
    <w:qFormat/>
    <w:rsid w:val="008969BF"/>
    <w:pPr>
      <w:ind w:left="720"/>
      <w:contextualSpacing/>
    </w:pPr>
  </w:style>
  <w:style w:type="character" w:styleId="IntenseEmphasis">
    <w:name w:val="Intense Emphasis"/>
    <w:basedOn w:val="DefaultParagraphFont"/>
    <w:uiPriority w:val="21"/>
    <w:qFormat/>
    <w:rsid w:val="008969BF"/>
    <w:rPr>
      <w:i/>
      <w:iCs/>
      <w:color w:val="2F5496" w:themeColor="accent1" w:themeShade="BF"/>
    </w:rPr>
  </w:style>
  <w:style w:type="paragraph" w:styleId="IntenseQuote">
    <w:name w:val="Intense Quote"/>
    <w:basedOn w:val="Normal"/>
    <w:next w:val="Normal"/>
    <w:link w:val="IntenseQuoteChar"/>
    <w:uiPriority w:val="30"/>
    <w:qFormat/>
    <w:rsid w:val="008969B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8969BF"/>
    <w:rPr>
      <w:i/>
      <w:iCs/>
      <w:color w:val="2F5496" w:themeColor="accent1" w:themeShade="BF"/>
    </w:rPr>
  </w:style>
  <w:style w:type="character" w:styleId="IntenseReference">
    <w:name w:val="Intense Reference"/>
    <w:basedOn w:val="DefaultParagraphFont"/>
    <w:uiPriority w:val="32"/>
    <w:qFormat/>
    <w:rsid w:val="008969BF"/>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70</TotalTime>
  <Pages>7</Pages>
  <Words>1827</Words>
  <Characters>10415</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Ibrahim Malami</cp:lastModifiedBy>
  <cp:revision>15</cp:revision>
  <cp:lastPrinted>2025-06-26T13:38:00Z</cp:lastPrinted>
  <dcterms:created xsi:type="dcterms:W3CDTF">2025-06-23T05:44:00Z</dcterms:created>
  <dcterms:modified xsi:type="dcterms:W3CDTF">2025-06-28T16:13:00Z</dcterms:modified>
</cp:coreProperties>
</file>